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377</w:t>
      </w:r>
    </w:p>
    <w:p>
      <w:r>
        <w:t>Bundesgericht (BGE), 2016-12-23, DE</w:t>
      </w:r>
    </w:p>
    <w:p>
      <w:r>
        <w:rPr>
          <w:b/>
        </w:rPr>
        <w:t xml:space="preserve">Quelle: </w:t>
      </w:r>
      <w:r>
        <w:t>https://mcp.opencaselaw.ch/entscheid/bge_144 III 377</w:t>
      </w:r>
    </w:p>
    <w:p>
      <w:r>
        <w:t>FR: ATF 144 III 377</w:t>
      </w:r>
    </w:p>
    <w:p>
      <w:r>
        <w:t>IT: DTF 144 III 377</w:t>
      </w:r>
    </w:p>
    <w:p>
      <w:pPr>
        <w:pStyle w:val="Heading2"/>
      </w:pPr>
      <w:r>
        <w:t>Regeste</w:t>
      </w:r>
    </w:p>
    <w:p>
      <w:r>
        <w:t>Regeste Art. 276 Abs. 2 und 285 Abs. 2 ZGB (je in der seit 1. Januar 2017 in Kraft stehenden Fassung); Betreuungsunterhalt, Bemessungsmethode. Zur Bemessung des Betreuungsunterhaltes des Kindes entspricht die Lebenshaltungskosten-Methode am besten dem vom Gesetzgeber verfolgten Ziel; sie hat überdies den Vorteil, einzig die indirekten, durch die Betreung entstehenden Kosten zu decken. Nach dieser Methode ist als Kriterium die Differenz zwischen dem Nettoverdienst aus der Erwerbstätigkeit und den Lebenshaltungskosten des betreuenden Elternteils massgebend, wobei hierfür im Grundsatz auf das familienrechtliche Existenzminimum abzustellen ist (E.7).</w:t>
      </w:r>
    </w:p>
    <w:p>
      <w:pPr>
        <w:pStyle w:val="Heading2"/>
      </w:pPr>
      <w:r>
        <w:t>Erwägungen</w:t>
      </w:r>
    </w:p>
    <w:p>
      <w:r>
        <w:rPr>
          <w:b/>
        </w:rPr>
        <w:t>E. 7</w:t>
      </w:r>
    </w:p>
    <w:p>
      <w:r>
        <w:t>(...)</w:t>
      </w:r>
    </w:p>
    <w:p>
      <w:r>
        <w:rPr>
          <w:b/>
        </w:rPr>
        <w:t>E. 7.1</w:t>
      </w:r>
    </w:p>
    <w:p>
      <w:r>
        <w:t>Selon l' art. 285 al. 2 CC , dans sa teneur en vigueur depuis le 1 er janvier 2017 ( art. 13c bis al. 1 Tit. fin. CC ),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"frais de sa prise en charge".</w:t>
      </w:r>
    </w:p>
    <w:p>
      <w:r>
        <w:rPr>
          <w:b/>
        </w:rPr>
        <w:t>E. 7.1.1</w:t>
      </w:r>
    </w:p>
    <w:p>
      <w:r>
        <w:t>L'entretien de l'enfant englobe donc désormais le coût lié à sa prise en charge, indépendamment du statut civil de ses parents. Ainsi, les critiques de la doctrine selon lesquelles les enfants de parents non mariés n'étaient pas traités à égalité avec les enfants de parents mariés ont été prises en compte. Selon l'ancien droit, un parent non marié vivant séparé ne pouvait en principe décider de s'occuper lui-même des enfants, puisqu'il devait assurer son propre entretien et, par conséquent, généralement exercer une activité lucrative, alors qu'au contraire, le parent marié mais séparé ou divorcé pouvait - et peut toujours - prétendre à l'allocation d'une contribution d'entretien pour la prise en charge du ou des enfants aussi fondée sur l'art. 176 al. 1 ou 125 al. 2 ch. 6 CC et, partant, s'en occuper personnellement, lorsque cela correspondait à la répartition des tâches durant la vie commune (Message du 29 novembre 2013 concernant la révision du code civil suisse [entretien de l'enfant], FF 2014 522/523 ch. 1.3.1;JUNGO/AEBI-MÜLLER/SCHWEIGHAUSER, Der Betreuungsunterhalt, Das Konzept - die Betreuungskosten - die Unterhaltsberechnung, FamPra.ch 2017 p. 163/164 et les auteurs cités en note infrapaginale n. 2; OLIVIER GUILLOD, La détermination de l'entretien de l'enfant, in Bohnet/Dupont [éd.], Le nouveau droit de l'entretien de l'enfant et dupartage de la prévoyance, 2016, n. 41 p. 20; MARGA BURRI, Der Betreuungsunterhalt, 2018, ch. 12 et 13 p. 5 ss). Aux frais directs générés par l'enfant viennent donc maintenant s'ajouter les coûts indirects de sa prise en charge. Celle-ci ne se traduit pas seulement par des prestations en nature; elle inclut aussi les dépenses que ces prestations induisent (FF 2014 533 ch. 1.5.2; JUNGO/AEBI-MÜLLER/SCHWEIGHAUSER, op. cit., p. 171; BURRI, op. cit., ch. 20 et 21 p. 11 ss). Les BGE 144 III 377 S. 380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(FF 2014 522 ch. 1.3.1; GERFIN/STUTZ/OESCH/STRUB, Kinderkosten in der Schweiz, sur mandat de l'Office fédéral de la statistique [OFS], étude réalisée par la section Démographie et migration, 2009, p. 2 ss; LEUBA/BASTONS-BULLETTI, Les contributions d'entretien après divorce, in Le droit du divorce, Symposium en droit de la famille 2007, 2008, p. 82 ss, 85; FOUNTOULAKIS/D'ANDRÈS, Les coûts indirects liés à la prise en charge de l'enfant - Une analyse sous l'angle du droit social, du droit du travail et du droit de la famille, in Entretien de l'enfant et prévoyance professionnelle, 9 e Symposium en droit de la famille 2017, 2018, p. 33 ss, 34-36).</w:t>
      </w:r>
    </w:p>
    <w:p>
      <w:r>
        <w:rPr>
          <w:b/>
        </w:rPr>
        <w:t>E. 7.1.2.1</w:t>
      </w:r>
    </w:p>
    <w:p>
      <w:r>
        <w:t>Le législateur a renoncé à codifier une méthode de calcul de la contribution de prise en charge. Le Conseil fédéral a expressément écarté deux critères, soit le coût d'opportunité, autrement dit l'évaluation du temps consacré à la prise en charge des enfants en termes de perte de revenu, et celui du coût de remplacement, ce par quoi il faut entendre le prix qu'il faudrait verser si les prestations non rémunérées étaient payées au prix du marché. En l'état, le Conseil fédéral recommande la méthode suivante pour calculer la contribution de prise en charge: étant donné que la loi reconnaît à l'enfant le droit à la prise en charge, ses parents doivent garantir que celle-ci soit effective. Si la prise en charge est assurée de manière prépondérante par un parent, celui-ci va normalement voir ses possibilités de revenu se réduire. Dans la plupart des cas, il ne va plus à terme pouvoir subvenir à ses propres besoins tout en s'occupant de l'enfant.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 Lebenshaltungskosten ) dudit parent, les parents étant tenus d'assumer ensemble ces frais non pas dans l'intérêt du parent qui s'occupe de l'enfant mais uniquement dans celui de l'enfant (FF 2014 535/536 ch. 1.5.2; sur cette méthode, cf. notamment: ANNETTE SPYCHER, Betreuungs- und Vorsorgeunterhalt - Stand der Diskussion BGE 144 III 377 S. 381 und Ausblick, in Elterliche Sorge, Betreuungsunterhalt, Vorsorgeausgleich und weitere Herausforderungen, 9. Symposium zum Familienrecht 2017, 2018, p. 69 ss, spéc. 83/84; SCHWEIGHAUSER/BÄHLER, Betreuungsunterhalt - Berechnungsmethoden und andere Frage, in Elterliche Sorge, Betreuungsunterhalt, Vorsorgeausgleich und weitere Herausforderungen, 9. Symposium zum Familienrecht 2017, 2018, p. 161 ss, 168 ss; PHILIPP BEUERMANN, Der Nacheheliche Unterhalt - Grundlagen und Ausgestaltung im deutschen Unterhaltsrecht und in den Prinzipien der Commission on European Family Law[CEFL], 2013, p. 105).Le Conseil fédéral propose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(FF 2014 556/557 ch. 2.1.3; BURRI, op. cit., ch. 49 p. 31/32). Cette méthode fondée sur une évaluation concrète des frais de subsistance, dite aussi du coût de la vie, est également préconisée par une partie de la doctrine (SPYCHER, Betreuungsunterhalt, Zielsetzung, offene Fragen und Berechnungsthemen[ci-après: Betreuungsunterhalt], FamPra.ch 2017 p. 198 ss, 212; PATRICK STOUDMANN, La contribution de prise en charge, in Entretien de l'enfant et prévoyance professionnelle, 9 e Symposium en droit de la famille 2017, 2018[ci-après: La contribution], p. 97 ss;STEPHAN HARTMANN, Betreuungsunterhalt - Überlegungen zur Methode der Unterhaltsbemessung, RJB 2017 p. 85 ss, 112; HEINZ HELLER, Betreuungsunterhalt &amp; Co. - Unterhaltsberechnung ab 1. Januar 2017, Revue de l'avocat 2016, p. 463 ss, 471; BÄHLER/SPYCHER, Reform des Kindesunterhaltsrechts, in Achte Schweizer Familienrecht§Tage, Schwenzer/Büchler/Cottier [éd.], 2016, p. 255 ss, 258, 267;HAUSHEER, Neuer Betreuungsunterhalt nach Schweizer Art, Zeitschrift für das gesamte Familienrecht [FamRZ] 2015 p. 1567 ss, 1567-1568, cité inJUNGO/AEBI-MÜLLER/SCHWEIGHAUSER, op. cit., note infrapaginale n. 29 p. 172; pour la méthode des coûts du marché: ROLAND FANKHAUSER, Der Betreuungsunterhalt, in Das Zivilrecht und seine Durchsetzung, Festschrift für Professor Thomas Sutter-Somm, 2016, p. 793 ss, 804). La méthode des frais de subsistance est en outre d'ores et déjà appliquée dans de nombreux cantons (cf. à ce sujet: FREI/KESSLER/WYSS/IMHOF, Irrgarten Unterhaltsrecht, Revue de l'avocat 2018, p. 151 ss, 158-159). Ils sont actuellement au nombre de quatorze, parmi BGE 144 III 377 S. 382 lesquels celui de Zurich (Obergericht ZH, décision du 1 er mars 2017 [LE160066], in ZR 116/2017 p. 89), ainsi que ceux d'Argovie, de Bâle-Campagne, Berne, Fribourg, Soleure, Thurgovie et Vaud (SCHWEIGHAUSER/BÄHLER, op. cit., note infrapaginale n. 23 p. 168; STOUDMANN, La contribution, op. cit., note infrapaginale n. 54 p. 96). Certains auteurs proposent toutefois une méthode de calcul différente. Selon leur conception - qui contrairement à la méthode proposée par le Message ne tient pas compte du revenu du parent gardien -, lorsque la prise en charge personnelle n'atteint pas 100 %, notamment quand le parent gardien travaille à temps partiel ou qu'en raison de l'âge de l'enfant, les besoins de prise en charge de celui-ci ne nécesitent pas que le parent concerné s'y consacre à plein temps, le calcul de la contribution de prise en charge dépend de l'étendue de celle-ci. Ainsi, lorsqu'elle n'est pas complète, les frais y relatifs sont proportionnellement réduits (par exemple en cas d'une prise en charge de 50 %, la contribution de prise en charge - objectivement - constatée sera diminuée de moitié, en cas d'une prise en charge de 40 %, elle sera diminuée de 60 %, et ainsi de suite). Il s'agit d'une méthode forfaitaire en ce sens qu'elle attribue une valeur déterminée à la prise en charge lorsque celle-ci est complètement assurée par un parent, différents éléments pouvant être pris en considération pour déterminer ce montant (en faveur de cette méthode dite du taux de prise en charge[ Betreuungsquotenmethode] : JONAS SCHWEIGHAUSER, in Scheidung, FamKommentar Scheidung, vol. I, 3 e éd. 2017, n os 94 ss ad art. 285 al. 2 CC ; ARNDT/BRÄNDLI, Berechnung des Betreuungsunterhalts - ein Lösungsansatz aus der Praxis, FamPra.ch 2017 p. 236 ss, 239 s.; JUNGO/AEBI-MÜLLER/SCHWEIGHAUSER, op. cit., p. 174 ss; BURRI, op. cit., ch. 83 ss p. 48 ss). Autrement dit, il s'agit de calquer la contribution de prise en charge sur le temps correspondant à la prise en charge effective de l'enfant. Selon cette approche, le gain issu du travail rémunéré du parent n'est pas déterminant, de même qu'il n'est pas nécessaire de rechercher si ce revenu suffit à couvrir les frais de subsistance (cf. STOUDMANN, La contribution, op. cit., p. 96). Cette approche pouvant mener à des disparités très importantes entre le niveau de vie de l'enfant et du parent gardien, d'une part, et celui du débirentier, d'autre part, le résultat obtenu peut toutefois devoir être corrigé (cf. à ce sujet: SPYCHER, Betreuungsunterhalt, op. cit., p. 213). Certains tribunaux cantonaux, comme celui de Bâle-Ville, estiment également que la préférence doit être donnée à la méthode du taux de prise en charge plutôt qu'à celle basée sur les BGE 144 III 377 S. 383 frais de subsistance (Appellationsgericht des Kantons Basel-Stadt, décision du 13 avril 2017 [ZB.2014.44], partiellement reproduite inFamPra.ch 2017 p. 864). Il en va de même à Lucerne, St-Gall et Zoug (SCHWEIGHAUSER/BÄHLER, op. cit., note infrapaginale n. 24 p. 168; STOUDMANN, La contribution, op. cit., note infrapaginale n. 57 p. 96). La doctrine s'accorde en revanche pour estimer que la méthode des pourcentages devrait être abandonnée, celle-ci ne comprenant pas les contributions de prise en charge et ne tenant pas compte des besoins concrets des enfants (SPYCHER, Kindesunterhalt: Rechtliche Grundlagen und praktische Herausforderungen - heute und demnächst [ci-après: Kindesunterhalt], FamPra.ch 2016 p. 1 ss, 8; BÄHLER, Unterhaltsberechnungen - von der Methode zu den Franken, FamPra.ch 2015 p. 271 ss, 321; RÜETSCHI/SPYCHER, Revisionsbestrebungen im Unterhaltsrecht: aktueller Stand und Ausblick, Schwenzer/Büchler/Fankhauser [éd.], in Siebte Schweizer Familienrecht§Tage, 2014, p. 115 ss, 167; STOUDMANN, Le nouveau droit de l'entretien de l'enfant en pratique: ce qui change et ce qui reste [ci-après: L'entretien de l'enfant], RMA 2016 p. 427 ss, 434, qui précise toutefois que la méthode des pourcentages pourrait subsister dans les cas où la question de la contribution de prise en charge ne se pose en fin de compte pas, par exemple parce que l'enfant sous la garde formelle d'un de ses parents est pris en charge par des tiers dans une telle mesure que les parents ne subissent pas de restriction dans leur capacité d'exercer une activité lucrative).</w:t>
      </w:r>
    </w:p>
    <w:p>
      <w:r>
        <w:rPr>
          <w:b/>
        </w:rPr>
        <w:t>E. 7.1.2.2</w:t>
      </w:r>
    </w:p>
    <w:p>
      <w:r>
        <w:t>La méthode des frais de subsistance apparaît comme celle qui correspond le mieux au but du législateur, à savoir garantir, économiquement parlant, que le parent - marié ou non - qui assure la prise en charge de l'enfant puisse subvenir à ses propres besoins tout en s'occupant de l'enfant (FF 2014 535 ch. 1.5.2). Cette solution a en outre l'avantage de couvrir uniquement les coûts indirects induits par la prise en charge. En effet, il ne s'agit pas de rémunérer le parent qui s'occupe de l'enfant (FF 2014 536 ch. 1.5.2). Il n'y a pas non plus lieu d'assurer une équité entre les parents, mais uniquement de supprimer les inégalités de traitement entre les enfants selon que leurs parents ont été mariés ou non (FF 2014 522/523 ch. 1.3.1). Or la méthode du taux de prise en charge tend à favoriser une égalité non pas entre les enfants indépendamment de l'état civil des parents, mais entre parents mariés et non mariés, ce qui n'est pas la volonté du législateur (STOUDMANN, La contribution, op. cit., p. 97). BGE 144 III 377 S. 384 De plus, dans les situations de bas salaire, l'utilisation de la méthode du taux de prise en charge ne permet pas d'atteindre le but de la contribution de prise en charge, qui est de permettre la présence du parent gardien auprès de l'enfant par la couverture de ses frais de subsistance. Elle contraint en effet le parent gardien d'augmenter son taux d'activité pour subvenir à ses propres besoins (pour des exemples chiffrés, cf. STOUDMANN, La contribution, op. cit., p. 98). Pour pallier ce problème, il est indispensable d'effectuer un "calcul de contrôle" pour vérifier que les frais de subsistance sont bien couverts et, si ce n'est pas le cas, d'augmenter la contribution de prise en charge jusqu'à due concurrence (comme le propose notamment SCHWEIGHAUSER, op. cit., n os 98 ss ad art. 285 CC ). Les résultats de la méthode du taux de prise en charge ne sont pas non plus satisfaisants lorsque le salaire du parent gardien est plus confortable, l'utilisation de cette méthode pouvant alors avoir pour effet de permettre au parent gardien de bénéficier d'un disponible nettement plus important que celui du débiteur d'aliments. Comme il n'est pas soutenable de laisser un tel disponible au parent gardien, il apparaît, dans ce cas-là aussi, indispensable d'effectuer un "calcul de contrôle" pour réduire la contribution de prise en charge, afin d'asurer une certaine égalité financière entre les parents (cf. JUNGO/AEBI-MÜLLER/SCHWEIGHAUSER, op. cit., p. 186 ss). Malgré ce correctif, le but égalitaire poursuivi a pour conséquence que les contributions de prise en charge ne sont plus du tout en rapport avec la simple fourniture au parent gardien des moyens économiques suffisants pour garantir sa présence auprès de l'enfant (STOUDMANN, La contribution, op. cit., p. 99). Par ailleurs, le temps dévolu à la prise en charge effective peut être très difficile à déterminer, notamment lorsque le parent gardien exerce une profession indépendante ou travaille sur appel avec des horaires irréguliers (STOUDMANN, La contribution, op. cit. p. 99). Il en va de même dans la mesure où certaines activités, comme préparer les repas, faire les courses, la lessive, etc., ne sont pas entièrement dues à la prise en charge de l'enfant, mais servent également les besoins du parent gardien (Message, FF 2014 534 ch. 1.5.2). En définitive, il convient de considérer que la méthode des frais de subsistance, qui vise à compenser la perte de capacité de gain du parent gardien en se basant sur des besoins concrets, est la plus adéquate, dès lors qu'elle réalise le mandat donné par le législateur et BGE 144 III 377 S. 385 présente l'avantage d'être facilement applicable en pratique, et ce dans tous les cas.</w:t>
      </w:r>
    </w:p>
    <w:p>
      <w:r>
        <w:rPr>
          <w:b/>
        </w:rPr>
        <w:t>E. 7.1.3</w:t>
      </w:r>
    </w:p>
    <w:p>
      <w:r>
        <w:t>Comme le précise le Conseil fédéral, la prise en charge de l'enfant ne donne droit à une contribution que si elle a lieu "à un moment où le parent pourrait sinon exercer une activité rémunérée": la prise en charge pendant le week-end ou le temps libre ne donne ainsi en principe pas lieu à une contribution. Comme dans le droit actuel, lorsque la garde n'est confiée qu'à l'un des parents, il faut en outre tenir compte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(FF 2014 536 ch. 1.5.2; SPYCHER, Betreuungsunterhalt, op. cit., p. 212). En ce qui concerne la détermination de la contribution de prise en charge dans chaque cas particulier, il reviendra finalement au juge de décider de la forme et de l'ampleur de prise en charge conforme au bien de l'enfant. Dans l'hypothèse d'une prise en charge externe, les frais qui en découlent sont à considérer comme des coûts directs et leur calcul ne pose pas de problème (FF 2014 522 ch. 1.3.1, 556 ch. 2.1.3).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(cf. supra consid. 7.1.2). 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BGE 144 III 377 S. 386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En revanche, lorsqu'un parent s'occupe proportionnellement davantage de l'enfant tout en disposant de ressources suffisantes, aucune contribution de prise en charge n'est due, la prise en charge de l'enfant étant garantie (FF 2014 556 s. ch. 2.1.3; BÄHLER/SPYCHER, op. cit., p. 258, 279 s.; SPYCHER, Kindesunterhalt, op. cit., p. 15, 25 s., 28; la même , Betreuungsunterhalt, op. cit., p. 212).</w:t>
      </w:r>
    </w:p>
    <w:p>
      <w:r>
        <w:rPr>
          <w:b/>
        </w:rPr>
        <w:t>E. 7.1.4</w:t>
      </w:r>
    </w:p>
    <w:p>
      <w:r>
        <w:t>Pour calculer les frais de subsistance, le Conseil fédéral recommande de se baser sur le minimum vital du droit des poursuites, ce montant pouvant ensuite être augmenté en fonction des circonstances spéciales du cas d'espèce. Selon le Message,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Ce but peut être atteint sans qu'il soit nécessaire de procéder à des dépenses luxueuses (FF 2014 557 ch. 2.1.3; JUNGO/AEBI-MÜLLER/SCHWEIGHAUSER, op. cit., p. 172 ss). En dépit du caractère très vague de la notion de frais de subsistance telle qu'elle ressort du Message, il est ainsi permis de constater que ceux-ci ne vont pas au-delà de ce qui est nécessaire pour permettre financièrement au parent qui s'occupe de l'enfant de le faire (STOUDMANN, L'entretien de l'enfant, op. cit., p. 432).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(JUNGO/AEBI-MÜLLER/SCHWEIGHAUSER, op. cit., BGE 144 III 377 S. 387 p. 172 ch. 2; SPYCHER, Betreuungsunterhalt, op. cit., p. 198 ss, 209; cf. aussi Revue valaisanne de jurisprudence [RVJ] 2017 p. 275 consid. 7.2), et ce bien que selon la doctrine, un montant forfaitaire soit aussi envisageable à ce titre (JUNGO/AEBI-MÜLLER/SCHWEIGHAUSER, op. cit., p. 174 ch. 2 in fine).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(sur cette notion: BASTONS-BULLETTI, L'entretien après divorce: méthodes de calcul, montant, durée et limites, SJ 2017 II p. 77 ss, 89 ss; cf. aussi STOUDMANN, La contribution, op. cit., p. 89-92).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